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79A385EE" w:rsidR="00B01629" w:rsidRDefault="007436AF">
      <w:r w:rsidRPr="007436AF">
        <w:t>Microcredencial em</w:t>
      </w:r>
      <w:r w:rsidR="000B0061" w:rsidRPr="000B0061">
        <w:t xml:space="preserve"> </w:t>
      </w:r>
      <w:r w:rsidR="005159A8">
        <w:t>Tecnologias avançadas</w:t>
      </w:r>
      <w:r w:rsidR="005159A8" w:rsidRPr="007436AF">
        <w:t xml:space="preserve"> </w:t>
      </w:r>
      <w:r w:rsidR="005159A8">
        <w:t xml:space="preserve">para gestão de projetos </w:t>
      </w:r>
      <w:r w:rsidR="005159A8">
        <w:t>2</w:t>
      </w:r>
      <w:r w:rsidR="005159A8" w:rsidRPr="007436AF">
        <w:t>ª Edição</w:t>
      </w:r>
      <w:r w:rsidR="005159A8">
        <w:t>, 202</w:t>
      </w:r>
      <w:r w:rsidR="005159A8">
        <w:t xml:space="preserve">6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26C39163" w14:textId="77777777" w:rsidR="005159A8" w:rsidRDefault="005159A8" w:rsidP="005159A8">
      <w:pPr>
        <w:pStyle w:val="ListParagraph"/>
        <w:numPr>
          <w:ilvl w:val="1"/>
          <w:numId w:val="2"/>
        </w:numPr>
      </w:pPr>
      <w:r w:rsidRPr="007436AF">
        <w:t>Podem candidatar-se licenciados e</w:t>
      </w:r>
      <w:r>
        <w:t xml:space="preserve">/ou candidatos que tenham completado o ensino secundário. </w:t>
      </w:r>
    </w:p>
    <w:p w14:paraId="0EF75AE6" w14:textId="751FC7C5"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16FF10D9" w:rsidR="007436AF" w:rsidRPr="00CA29B4" w:rsidRDefault="007436AF" w:rsidP="00330808">
      <w:pPr>
        <w:pStyle w:val="ListParagraph"/>
        <w:numPr>
          <w:ilvl w:val="1"/>
          <w:numId w:val="2"/>
        </w:numPr>
      </w:pPr>
      <w:r w:rsidRPr="00CA29B4">
        <w:t>Período de candidatura –</w:t>
      </w:r>
      <w:r w:rsidR="000B0061">
        <w:t xml:space="preserve"> </w:t>
      </w:r>
      <w:r w:rsidR="005159A8">
        <w:t>26 de Janeiro a 06 de Fevereiro de 2026</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4AC86A1F" w14:textId="77777777" w:rsidR="005159A8" w:rsidRPr="00CA4BE5" w:rsidRDefault="005159A8" w:rsidP="005159A8">
      <w:pPr>
        <w:pStyle w:val="ListParagraph"/>
        <w:spacing w:before="240" w:after="120"/>
        <w:ind w:left="360"/>
        <w:contextualSpacing w:val="0"/>
        <w:rPr>
          <w:b/>
          <w:bCs/>
        </w:rPr>
      </w:pPr>
      <w:r w:rsidRPr="00CA4BE5">
        <w:t>Plano de estudos disponível em:</w:t>
      </w:r>
      <w:r>
        <w:rPr>
          <w:b/>
          <w:bCs/>
        </w:rPr>
        <w:t xml:space="preserve"> </w:t>
      </w:r>
      <w:r w:rsidRPr="00CA4BE5">
        <w:t>https://academia.nexuslab.pt/projectmanagement/</w:t>
      </w:r>
    </w:p>
    <w:p w14:paraId="194595A2" w14:textId="5F67C2B2"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070B157E" w:rsidR="007436AF" w:rsidRDefault="005159A8" w:rsidP="00330808">
      <w:pPr>
        <w:spacing w:after="0"/>
        <w:ind w:left="357"/>
      </w:pPr>
      <w:r>
        <w:t>09 a 13</w:t>
      </w:r>
      <w:r w:rsidR="000B0061">
        <w:t xml:space="preserve"> de </w:t>
      </w:r>
      <w:r w:rsidR="00EB20C6">
        <w:t>Fevereiro de 2026</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7A94F3BB" w:rsidR="007436AF" w:rsidRDefault="005159A8" w:rsidP="00330808">
      <w:pPr>
        <w:spacing w:after="0"/>
        <w:ind w:left="357"/>
      </w:pPr>
      <w:r>
        <w:t>16 a 27</w:t>
      </w:r>
      <w:r w:rsidR="00EB20C6">
        <w:t xml:space="preserve"> de Fevereiro de 2026</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048956DD" w14:textId="1E7B453F" w:rsidR="00CA4BE5" w:rsidRDefault="005159A8" w:rsidP="00CA4BE5">
      <w:pPr>
        <w:spacing w:after="0"/>
      </w:pPr>
      <w:r>
        <w:t xml:space="preserve">       16 a 27</w:t>
      </w:r>
      <w:r w:rsidR="00EB20C6" w:rsidRPr="00EB20C6">
        <w:t xml:space="preserve"> de Fevereiro de 2026</w:t>
      </w:r>
    </w:p>
    <w:p w14:paraId="4C2B64D7" w14:textId="77777777" w:rsidR="00EB20C6" w:rsidRDefault="00EB20C6" w:rsidP="00CA4BE5">
      <w:pPr>
        <w:spacing w:after="0"/>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4C59CD5A" w14:textId="77777777" w:rsidR="005159A8" w:rsidRPr="00CA4BE5" w:rsidRDefault="005159A8" w:rsidP="005159A8">
      <w:pPr>
        <w:pStyle w:val="ListParagraph"/>
        <w:spacing w:before="240" w:after="120"/>
        <w:ind w:left="360"/>
        <w:contextualSpacing w:val="0"/>
        <w:rPr>
          <w:b/>
          <w:bCs/>
        </w:rPr>
      </w:pPr>
      <w:r w:rsidRPr="00CA4BE5">
        <w:t>https://academia.nexuslab.pt/projectmanagement/</w:t>
      </w:r>
    </w:p>
    <w:p w14:paraId="00C8AA3E" w14:textId="77777777" w:rsidR="00FE6235" w:rsidRDefault="00FE6235" w:rsidP="007436AF">
      <w:pPr>
        <w:ind w:left="360"/>
      </w:pPr>
    </w:p>
    <w:p w14:paraId="6A712E2B" w14:textId="6B1CFAE0" w:rsidR="007436AF" w:rsidRDefault="007436AF" w:rsidP="007436AF">
      <w:pPr>
        <w:ind w:left="360"/>
      </w:pPr>
      <w:r w:rsidRPr="007436AF">
        <w:t xml:space="preserve">Universidade de Aveiro, </w:t>
      </w:r>
      <w:r w:rsidR="005159A8">
        <w:t>23</w:t>
      </w:r>
      <w:r w:rsidR="00FE6235">
        <w:t xml:space="preserve"> de Janeiro de 2026</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A0479"/>
    <w:rsid w:val="002C7EE9"/>
    <w:rsid w:val="002D1209"/>
    <w:rsid w:val="00330808"/>
    <w:rsid w:val="00336271"/>
    <w:rsid w:val="003C2818"/>
    <w:rsid w:val="004823D3"/>
    <w:rsid w:val="0048799A"/>
    <w:rsid w:val="005159A8"/>
    <w:rsid w:val="007436AF"/>
    <w:rsid w:val="007C2A23"/>
    <w:rsid w:val="007F3EA3"/>
    <w:rsid w:val="00A02D12"/>
    <w:rsid w:val="00B01629"/>
    <w:rsid w:val="00C133A5"/>
    <w:rsid w:val="00CA29B4"/>
    <w:rsid w:val="00CA4BE5"/>
    <w:rsid w:val="00D073ED"/>
    <w:rsid w:val="00DA0715"/>
    <w:rsid w:val="00E74D2A"/>
    <w:rsid w:val="00EB20C6"/>
    <w:rsid w:val="00F128E0"/>
    <w:rsid w:val="00FE62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2026-04-20T15:04:00Z</dcterms:created>
  <dcterms:modified xsi:type="dcterms:W3CDTF">2026-04-20T15:04:00Z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